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ACD85">
      <w:pPr>
        <w:pStyle w:val="4"/>
        <w:keepNext w:val="0"/>
        <w:keepLines w:val="0"/>
        <w:widowControl/>
        <w:suppressLineNumbers w:val="0"/>
        <w:spacing w:before="0" w:beforeAutospacing="0" w:after="0" w:afterAutospacing="0"/>
        <w:ind w:left="0" w:right="0" w:firstLine="0"/>
        <w:rPr>
          <w:rFonts w:hint="eastAsia" w:ascii="宋体" w:hAnsi="宋体" w:eastAsia="宋体" w:cs="宋体"/>
          <w:sz w:val="24"/>
          <w:u w:val="single"/>
          <w:lang w:val="en-US" w:eastAsia="zh-CN"/>
        </w:rPr>
      </w:pPr>
      <w:bookmarkStart w:id="0" w:name="_GoBack"/>
      <w:bookmarkEnd w:id="0"/>
    </w:p>
    <w:p w14:paraId="03B3F1BE">
      <w:pPr>
        <w:spacing w:line="360" w:lineRule="auto"/>
        <w:jc w:val="center"/>
        <w:rPr>
          <w:rFonts w:hint="eastAsia" w:ascii="宋体" w:hAnsi="宋体"/>
          <w:b/>
          <w:bCs/>
          <w:sz w:val="44"/>
          <w:szCs w:val="44"/>
          <w:lang w:val="en-US" w:eastAsia="zh-CN"/>
        </w:rPr>
      </w:pPr>
      <w:r>
        <w:rPr>
          <w:rFonts w:hint="eastAsia" w:ascii="宋体" w:hAnsi="宋体"/>
          <w:b/>
          <w:bCs/>
          <w:sz w:val="44"/>
          <w:szCs w:val="44"/>
        </w:rPr>
        <w:t>清 单 编 制 说 明</w:t>
      </w:r>
      <w:r>
        <w:rPr>
          <w:rFonts w:hint="eastAsia" w:ascii="宋体" w:hAnsi="宋体"/>
          <w:b/>
          <w:bCs/>
          <w:sz w:val="44"/>
          <w:szCs w:val="44"/>
          <w:lang w:val="en-US" w:eastAsia="zh-CN"/>
        </w:rPr>
        <w:t xml:space="preserve"> </w:t>
      </w:r>
    </w:p>
    <w:p w14:paraId="7AA7EFA3">
      <w:pPr>
        <w:spacing w:line="360" w:lineRule="auto"/>
        <w:rPr>
          <w:rFonts w:hint="eastAsia" w:ascii="宋体" w:hAnsi="宋体"/>
          <w:b/>
          <w:sz w:val="24"/>
          <w:lang w:val="en-US" w:eastAsia="zh-CN"/>
        </w:rPr>
      </w:pPr>
      <w:r>
        <w:rPr>
          <w:rFonts w:hint="eastAsia" w:ascii="宋体" w:hAnsi="宋体"/>
          <w:b/>
          <w:sz w:val="24"/>
          <w:lang w:val="en-US" w:eastAsia="zh-CN"/>
        </w:rPr>
        <w:t>工程名称：改造提升地质公园大裂谷景区步道项目</w:t>
      </w:r>
    </w:p>
    <w:tbl>
      <w:tblPr>
        <w:tblStyle w:val="5"/>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2E10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noWrap w:val="0"/>
            <w:vAlign w:val="top"/>
          </w:tcPr>
          <w:p w14:paraId="2ACE7816">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一、工程概况</w:t>
            </w:r>
          </w:p>
          <w:p w14:paraId="6929FF54">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本工程名称为改造提升地质公园大裂谷景区步道项目。工程建设单位为六安市林业局。</w:t>
            </w:r>
          </w:p>
          <w:p w14:paraId="6D9D4E59">
            <w:pPr>
              <w:numPr>
                <w:ilvl w:val="0"/>
                <w:numId w:val="0"/>
              </w:numPr>
              <w:spacing w:line="360" w:lineRule="auto"/>
              <w:ind w:leftChars="0"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二、招标范围：本项目地点位于六安市金安区皖西大裂谷内，主要内容为拆除原有破损步道，新建枕木步道、台阶等工程；具体详见设计图纸及工程量清单。</w:t>
            </w:r>
          </w:p>
          <w:p w14:paraId="46B15AED">
            <w:pPr>
              <w:numPr>
                <w:ilvl w:val="0"/>
                <w:numId w:val="0"/>
              </w:numPr>
              <w:spacing w:line="360" w:lineRule="auto"/>
              <w:ind w:leftChars="0" w:firstLine="480" w:firstLineChars="200"/>
              <w:rPr>
                <w:rFonts w:hint="eastAsia" w:ascii="宋体" w:hAnsi="宋体"/>
                <w:bCs/>
                <w:sz w:val="24"/>
              </w:rPr>
            </w:pPr>
            <w:r>
              <w:rPr>
                <w:rFonts w:hint="eastAsia" w:ascii="宋体" w:hAnsi="宋体"/>
                <w:bCs/>
                <w:sz w:val="24"/>
              </w:rPr>
              <w:t>三、编制依据</w:t>
            </w:r>
          </w:p>
          <w:p w14:paraId="603FB9B5">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1、建设单位提供的设计图纸及相关要求。</w:t>
            </w:r>
          </w:p>
          <w:p w14:paraId="3213C960">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2、《安徽省建设工程计价依据动态调整（第2期）》、《安徽省建设工程工程量清单计价办法》《安徽省建设工程费用定额》、《安徽省建设工程施工机械台班费用编制规则》、《安徽省建设工程计价定额（共用册）》、《安徽省建筑工程计价定额》、《安徽省装饰装修计价定额》、《安徽省安装工程计价定额》、《安徽省市政工程计价定额》。</w:t>
            </w:r>
          </w:p>
          <w:p w14:paraId="14FBCAC5">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3、税金标准：税金按安徽省建设工程造价管理总站造价【2019】7号文执行，税率按9%计取。</w:t>
            </w:r>
          </w:p>
          <w:p w14:paraId="3AF3E7D5">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4、主要材料价格：采用2026年7期《六安建设工程造价》中的六安市材料信息价格，信息价没有的材料按市场询价列入。</w:t>
            </w:r>
          </w:p>
          <w:p w14:paraId="591EFD8A">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5、不可竞争费按建标[2021]42号执行。</w:t>
            </w:r>
          </w:p>
          <w:p w14:paraId="64CE2AC8">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四、清单组价说明：</w:t>
            </w:r>
          </w:p>
          <w:p w14:paraId="1AE3EB43">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1、工程量清单列出的每个细目已包括涉及与该细目有关的全部内容，投标人应将工程量清单与招标文件、合同通用及专用条款、技术规范及施工图纸一起对照阅读。</w:t>
            </w:r>
          </w:p>
          <w:p w14:paraId="34132ABB">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2、除非合同另有规定，工程量清单中每一项单价均应已包括完成相应该项目的工程内容所需的所有人工、材料、设备、机械和其它伴随服务所发生的所有费用。</w:t>
            </w:r>
          </w:p>
          <w:p w14:paraId="56DE9028">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3、投标人应填写工程量清单中所有的工程细目的价格，凡技术规范和图纸中注明的工程内容，如在清单中未列项，均应视为包含在其它相关项目中。</w:t>
            </w:r>
          </w:p>
          <w:p w14:paraId="4D8CB8A2">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4、清单描述不明确的，以施工图设计文件和相关施工验收规范、图集为准，清单与图纸、技术标注不一致的，以较优的技术标准为准。</w:t>
            </w:r>
          </w:p>
          <w:p w14:paraId="72CFB3AE">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投标人对工程量清单有任何疑问，应于招标文件规定的疑问提交截止之日前提出，否则视为投标人认可工程量清单已包括招标范围的全部内容。如遇设计图纸与招标清单项目特征不同时以图纸描述为准，中标后不再调整。</w:t>
            </w:r>
          </w:p>
          <w:p w14:paraId="7F9032A6">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五、其他说明</w:t>
            </w:r>
          </w:p>
          <w:p w14:paraId="2C1580A8">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投标人踏勘现场，应充分考虑各种因素：施工排水、施工临时便道、现场临时围墙拆除、临时道路或建筑物基础拆除、施工垃圾清运、回填土施工机械使用、已完工程保护措施等，投标人自报费用，体现在总价中。</w:t>
            </w:r>
          </w:p>
          <w:p w14:paraId="6D26C907">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w:t>
            </w:r>
            <w:r>
              <w:rPr>
                <w:rFonts w:hint="eastAsia" w:ascii="宋体" w:hAnsi="宋体"/>
                <w:color w:val="auto"/>
                <w:sz w:val="24"/>
              </w:rPr>
              <w:t>土方施工现场建设单位不提供临时堆砌场地，场地挖方需要考虑外弃</w:t>
            </w:r>
            <w:r>
              <w:rPr>
                <w:rFonts w:hint="eastAsia" w:ascii="宋体" w:hAnsi="宋体"/>
                <w:color w:val="auto"/>
                <w:sz w:val="24"/>
                <w:lang w:eastAsia="zh-CN"/>
              </w:rPr>
              <w:t>。</w:t>
            </w:r>
            <w:r>
              <w:rPr>
                <w:rFonts w:hint="eastAsia" w:ascii="宋体" w:hAnsi="宋体"/>
                <w:sz w:val="24"/>
                <w:lang w:val="en-US" w:eastAsia="zh-CN"/>
              </w:rPr>
              <w:t>校区</w:t>
            </w:r>
            <w:r>
              <w:rPr>
                <w:rFonts w:hint="eastAsia" w:ascii="宋体" w:hAnsi="宋体"/>
                <w:sz w:val="24"/>
              </w:rPr>
              <w:t>范围的场内土方挖填、外购（弃）运距、购（弃）土场土源以及施工过程中遇到岩石等，投标人应结合地质勘察报告及现场实际情况，自行考虑其费用，中标后不再调整。</w:t>
            </w:r>
          </w:p>
          <w:p w14:paraId="3E81F1C4">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3</w:t>
            </w:r>
            <w:r>
              <w:rPr>
                <w:rFonts w:hint="eastAsia" w:ascii="宋体" w:hAnsi="宋体"/>
                <w:sz w:val="24"/>
              </w:rPr>
              <w:t>、对于施工周边原有树木、电缆、杆、线、管井、道路、市政设施等进行保护，对施工破坏部分按原标准修复，费用分摊计入报价，中标后不得提出增加处理费用。</w:t>
            </w:r>
          </w:p>
          <w:p w14:paraId="12AB4C90">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4、投标人自行考虑交叉施工中，施工难度大、施工工效差等各种周边环境影响施工不利因素，并充分体现在报价中。</w:t>
            </w:r>
          </w:p>
          <w:p w14:paraId="785DC092">
            <w:pPr>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5、所有材料承包人在采购前应将拟采购的材料的厂家、规格型号、质量等级、价格等参数递交给发包人及监理工程师，得到发包人及监理工程师同意后方可进行采购，否则，发包人和监理工程师不予认可，发包人有权勒令其材料或设备退场，承包人应承担由此产生的一切损失。中标人自行采购的材料应满足设计和规范要求的质量等级，并须按有关技术规范要求对材料质量进行检验。如招标人和监理单位对某种或某些材料的质量有异议，有权提出停止使用的要求，中标人必须服从该要求。若该材料经权威检验部门鉴定确有质量问题，由此而发生的一切费用由中标人自负。因中标人自行采购的材料质量引起的工程质量问题由中标人承担所造成的一切损失。</w:t>
            </w:r>
            <w:r>
              <w:rPr>
                <w:rFonts w:hint="eastAsia" w:ascii="宋体" w:hAnsi="宋体"/>
                <w:sz w:val="24"/>
              </w:rPr>
              <w:t xml:space="preserve">                                </w:t>
            </w:r>
          </w:p>
        </w:tc>
      </w:tr>
    </w:tbl>
    <w:p w14:paraId="50409D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MDUwZmMwY2U0YjM2MzQ0NzlkY2JmY2ExYTc1MmIifQ=="/>
  </w:docVars>
  <w:rsids>
    <w:rsidRoot w:val="7E0928D4"/>
    <w:rsid w:val="006D1245"/>
    <w:rsid w:val="01C04528"/>
    <w:rsid w:val="025E45B1"/>
    <w:rsid w:val="028E6A81"/>
    <w:rsid w:val="02D478B6"/>
    <w:rsid w:val="03383DF3"/>
    <w:rsid w:val="04B058D4"/>
    <w:rsid w:val="04E87C13"/>
    <w:rsid w:val="06A44A1A"/>
    <w:rsid w:val="06B94A7F"/>
    <w:rsid w:val="07032795"/>
    <w:rsid w:val="07DF5FA4"/>
    <w:rsid w:val="07F341DF"/>
    <w:rsid w:val="082E3B5D"/>
    <w:rsid w:val="099135CE"/>
    <w:rsid w:val="099E18A8"/>
    <w:rsid w:val="0AB768E5"/>
    <w:rsid w:val="0AC66D90"/>
    <w:rsid w:val="0AF5296E"/>
    <w:rsid w:val="0B190FC9"/>
    <w:rsid w:val="0C474E52"/>
    <w:rsid w:val="0E061C30"/>
    <w:rsid w:val="0E353883"/>
    <w:rsid w:val="0ED96B8B"/>
    <w:rsid w:val="0F774EAB"/>
    <w:rsid w:val="0FA67E27"/>
    <w:rsid w:val="110F44FA"/>
    <w:rsid w:val="11E47EF5"/>
    <w:rsid w:val="12C51BE3"/>
    <w:rsid w:val="13DC2CA6"/>
    <w:rsid w:val="156913B4"/>
    <w:rsid w:val="17187335"/>
    <w:rsid w:val="18C14496"/>
    <w:rsid w:val="19522F2F"/>
    <w:rsid w:val="1A2A3964"/>
    <w:rsid w:val="1B2D0ADE"/>
    <w:rsid w:val="1D4460CB"/>
    <w:rsid w:val="1EEA65BE"/>
    <w:rsid w:val="215340FA"/>
    <w:rsid w:val="21B67FF8"/>
    <w:rsid w:val="222E00D2"/>
    <w:rsid w:val="232F4B51"/>
    <w:rsid w:val="24A77474"/>
    <w:rsid w:val="24C17533"/>
    <w:rsid w:val="260E736A"/>
    <w:rsid w:val="26A10467"/>
    <w:rsid w:val="284A1325"/>
    <w:rsid w:val="297F2717"/>
    <w:rsid w:val="29E3371B"/>
    <w:rsid w:val="2A8A6EFD"/>
    <w:rsid w:val="2F636416"/>
    <w:rsid w:val="2F8D1B92"/>
    <w:rsid w:val="302F0548"/>
    <w:rsid w:val="31376C6D"/>
    <w:rsid w:val="318F1B78"/>
    <w:rsid w:val="32D717A6"/>
    <w:rsid w:val="341A025B"/>
    <w:rsid w:val="34F874EC"/>
    <w:rsid w:val="351C78BE"/>
    <w:rsid w:val="35C25117"/>
    <w:rsid w:val="36E76E55"/>
    <w:rsid w:val="37D44A8A"/>
    <w:rsid w:val="38B12474"/>
    <w:rsid w:val="39264B69"/>
    <w:rsid w:val="394E6C03"/>
    <w:rsid w:val="39A50CA7"/>
    <w:rsid w:val="39DD2325"/>
    <w:rsid w:val="39FC694C"/>
    <w:rsid w:val="3AE20AA6"/>
    <w:rsid w:val="3AF06A01"/>
    <w:rsid w:val="3C185831"/>
    <w:rsid w:val="3C4602A7"/>
    <w:rsid w:val="3C4831DC"/>
    <w:rsid w:val="3CD84346"/>
    <w:rsid w:val="3D7A1E93"/>
    <w:rsid w:val="3E593655"/>
    <w:rsid w:val="3F186F13"/>
    <w:rsid w:val="41F85782"/>
    <w:rsid w:val="42A00D4F"/>
    <w:rsid w:val="430D4081"/>
    <w:rsid w:val="43523576"/>
    <w:rsid w:val="441C4C68"/>
    <w:rsid w:val="44AD3592"/>
    <w:rsid w:val="44C23D23"/>
    <w:rsid w:val="46060660"/>
    <w:rsid w:val="4751781E"/>
    <w:rsid w:val="480D5C31"/>
    <w:rsid w:val="49CB1FE2"/>
    <w:rsid w:val="4A4E5B6A"/>
    <w:rsid w:val="4CFD0DD6"/>
    <w:rsid w:val="4DD0313A"/>
    <w:rsid w:val="503D3520"/>
    <w:rsid w:val="51F564DF"/>
    <w:rsid w:val="5200430E"/>
    <w:rsid w:val="52214F60"/>
    <w:rsid w:val="53531E8D"/>
    <w:rsid w:val="551758CE"/>
    <w:rsid w:val="555434BF"/>
    <w:rsid w:val="55C114A0"/>
    <w:rsid w:val="56055254"/>
    <w:rsid w:val="562140D2"/>
    <w:rsid w:val="58215110"/>
    <w:rsid w:val="596973DE"/>
    <w:rsid w:val="59975B5E"/>
    <w:rsid w:val="5A4169CA"/>
    <w:rsid w:val="5ABB6667"/>
    <w:rsid w:val="5B09245A"/>
    <w:rsid w:val="5B405E65"/>
    <w:rsid w:val="5BEF1325"/>
    <w:rsid w:val="5E262732"/>
    <w:rsid w:val="5F2172BE"/>
    <w:rsid w:val="60FA7C53"/>
    <w:rsid w:val="6173091B"/>
    <w:rsid w:val="61814CBC"/>
    <w:rsid w:val="61F96A4F"/>
    <w:rsid w:val="629059E7"/>
    <w:rsid w:val="66F747A1"/>
    <w:rsid w:val="67A2027C"/>
    <w:rsid w:val="690546E6"/>
    <w:rsid w:val="691E7B62"/>
    <w:rsid w:val="6C284B19"/>
    <w:rsid w:val="6D1A7573"/>
    <w:rsid w:val="6D94547C"/>
    <w:rsid w:val="6FBF3BAB"/>
    <w:rsid w:val="704B09B3"/>
    <w:rsid w:val="741F5CD5"/>
    <w:rsid w:val="75251963"/>
    <w:rsid w:val="752A3EEF"/>
    <w:rsid w:val="75446EE0"/>
    <w:rsid w:val="787A1028"/>
    <w:rsid w:val="7A060774"/>
    <w:rsid w:val="7A2C62B7"/>
    <w:rsid w:val="7A305B1F"/>
    <w:rsid w:val="7AC90269"/>
    <w:rsid w:val="7AF26098"/>
    <w:rsid w:val="7B886729"/>
    <w:rsid w:val="7E0928D4"/>
    <w:rsid w:val="7E451BEA"/>
    <w:rsid w:val="7F8945AC"/>
    <w:rsid w:val="7FF01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unhideWhenUsed/>
    <w:qFormat/>
    <w:uiPriority w:val="9"/>
    <w:pPr>
      <w:keepNext/>
      <w:keepLines/>
      <w:spacing w:after="3182" w:line="259" w:lineRule="auto"/>
      <w:ind w:right="4"/>
      <w:jc w:val="center"/>
      <w:outlineLvl w:val="0"/>
    </w:pPr>
    <w:rPr>
      <w:rFonts w:ascii="黑体" w:hAnsi="黑体" w:eastAsia="黑体" w:cs="Times New Roman"/>
      <w:color w:val="000000"/>
      <w:kern w:val="2"/>
      <w:sz w:val="44"/>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eastAsia="仿宋_GB2312"/>
      <w:spacing w:val="20"/>
      <w:sz w:val="3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1"/>
    <w:basedOn w:val="1"/>
    <w:qFormat/>
    <w:uiPriority w:val="0"/>
    <w:pPr>
      <w:spacing w:line="351" w:lineRule="atLeast"/>
      <w:ind w:firstLine="419"/>
      <w:jc w:val="both"/>
      <w:textAlignment w:val="baseline"/>
    </w:pPr>
    <w:rPr>
      <w:rFonts w:ascii="Times New Roman" w:eastAsia="宋体"/>
      <w:color w:val="000000"/>
      <w:sz w:val="28"/>
      <w:u w:val="none" w:color="000000"/>
      <w:vertAlign w:val="baseline"/>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2358</Words>
  <Characters>2631</Characters>
  <Lines>0</Lines>
  <Paragraphs>0</Paragraphs>
  <TotalTime>13</TotalTime>
  <ScaleCrop>false</ScaleCrop>
  <LinksUpToDate>false</LinksUpToDate>
  <CharactersWithSpaces>3244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2020-09-12T08:47:00Z</dcterms:created>
  <dc:creator>光辉</dc:creator>
  <cp:lastModifiedBy>崔启文ૢ</cp:lastModifiedBy>
  <cp:lastPrinted>2024-07-21T14:56:00Z</cp:lastPrinted>
  <dcterms:modified xsi:type="dcterms:W3CDTF">2026-09-03T01:03:40Z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1DED9239A1784D1CAC5F528C703A3EFD_13</vt:lpwstr>
  </property>
  <property fmtid="{D5CDD505-2E9C-101B-9397-08002B2CF9AE}" pid="4" name="KSOTemplateDocerSaveRecord">
    <vt:lpwstr>eyJoZGlkIjoiMzUzMGRkZGY2MDI2NmEyNjg5OTcyMjMzMmE5Y2UwZTkiLCJ1c2VySWQiOiI0MDkzNzU0NzEifQ==</vt:lpwstr>
  </property>
</Properties>
</file>